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PostG 1998 — Widerruf der Lizenz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Eine Lizenz kann durch die Regulierungsbehörde über die in § 49 des Verwaltungsverfahrensgesetzes genannten Gründe hinaus auch ganz oder teilweise dann widerrufen werden, wenn der Lizenznehmer seinen Verpflichtungen nach diesem Gesetz oder einer auf Grund dieses Gesetzes erlassenen Rechtsverordnung nicht nachkommt.</w:t>
      </w:r>
    </w:p>
    <w:p>
      <w:r>
        <w:t xml:space="preserve">(2) Ein Widerruf nach Absatz 1 ist erst zulässig, wenn der Lizenznehmer einer Aufforderung der Regulierungsbehörde, seinen Verpflichtungen nachzukommen, nicht innerhalb der ihm gesetzten Frist Folge geleistet hat.</w:t>
      </w:r>
    </w:p>
    <w:p>
      <w:r>
        <w:rPr>
          <w:color w:val="555555"/>
          <w:sz w:val="17"/>
        </w:rPr>
        <w:t xml:space="preserve">Zitiervorschlag: § 9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