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PostG 1998 — Übertragung der Lizenz</w:t>
      </w:r>
    </w:p>
    <w:p>
      <w:r>
        <w:rPr>
          <w:color w:val="555555"/>
          <w:sz w:val="18"/>
        </w:rPr>
        <w:t xml:space="preserve">Postgesetz</w:t>
      </w:r>
    </w:p>
    <w:p>
      <w:r>
        <w:rPr>
          <w:color w:val="555555"/>
          <w:sz w:val="18"/>
        </w:rPr>
        <w:t xml:space="preserve">Historische Fassung: Stand 10.06.2019 bis 19.07.2024. Dies ist nicht die aktuelle Fassung.</w:t>
      </w:r>
    </w:p>
    <w:p>
      <w:r>
        <w:t xml:space="preserve">(1) Eine Übertragung der Lizenz bedarf der Schriftform und der vorherigen Zustimmung der Regulierungsbehörde. Die Zustimmung ist unter den Voraussetzungen des § 6 Abs. 3 zu versagen.</w:t>
      </w:r>
    </w:p>
    <w:p>
      <w:r>
        <w:t xml:space="preserve">(2) Für den Fall des Todes des Lizenznehmers gilt § 46 der Gewerbeordnung. Zuständige Behörde im Sinne des § 46 Abs. 3 der Gewerbeordnung ist die Regulierungsbehörde. Soll das Gewerbe durch einen Stellvertreter fortgeführt werden, ist dies der Regulierungsbehörde unverzüglich anzuzeigen.</w:t>
      </w:r>
    </w:p>
    <w:p>
      <w:r>
        <w:t xml:space="preserve">(3) Ist einer Kapitalgesellschaft eine Lizenz erteilt, so hat jeder, der Aktien oder Geschäftsanteile der Gesellschaft erwirbt und hierdurch über mehr als zehn vom Hundert der Aktien oder Geschäftsanteile der Gesellschaft verfügt, dies der Regulierungsbehörde unverzüglich anzuzeigen.</w:t>
      </w:r>
    </w:p>
    <w:p>
      <w:r>
        <w:rPr>
          <w:color w:val="555555"/>
          <w:sz w:val="17"/>
        </w:rPr>
        <w:t xml:space="preserve">Zitiervorschlag: § 7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