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PostG 1998 — Inkrafttreten, Außerkrafttreten</w:t>
      </w:r>
    </w:p>
    <w:p>
      <w:r>
        <w:rPr>
          <w:color w:val="555555"/>
          <w:sz w:val="18"/>
        </w:rPr>
        <w:t xml:space="preserve">Postgesetz</w:t>
      </w:r>
    </w:p>
    <w:p>
      <w:r>
        <w:rPr>
          <w:color w:val="555555"/>
          <w:sz w:val="18"/>
        </w:rPr>
        <w:t xml:space="preserve">Historische Fassung: Stand 10.06.2019 bis 19.07.2024. Dies ist nicht die aktuelle Fassung.</w:t>
      </w:r>
    </w:p>
    <w:p>
      <w:r>
        <w:t xml:space="preserve">(1) § 8 Satz 3, § 11 Abs. 2, § 21 Abs. 4 und § 57 Abs. 3 treten am Tage nach der Verkündung in Kraft. Im übrigen tritt dieses Gesetz am 1. Januar 1998 in Kraft.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§ 58 PostG 1998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https://recht.nulegal.eu/gesetze/PostG%201998/58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