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52 PostG 1998 — Universaldienstleistungspflicht im Zeitraum der gesetzlichen Exklusivlizenz</w:t>
      </w:r>
    </w:p>
    <w:p>
      <w:r>
        <w:rPr>
          <w:color w:val="555555"/>
          <w:sz w:val="18"/>
        </w:rPr>
        <w:t xml:space="preserve">Postgesetz</w:t>
      </w:r>
    </w:p>
    <w:p>
      <w:r>
        <w:rPr>
          <w:color w:val="555555"/>
          <w:sz w:val="18"/>
        </w:rPr>
        <w:t xml:space="preserve">Historische Fassung: Stand 10.06.2019 bis 19.07.2024. Dies ist nicht die aktuelle Fassung.</w:t>
      </w:r>
    </w:p>
    <w:p>
      <w:r>
        <w:t xml:space="preserve">Für den Zeitraum der gesetzlichen Exklusivlizenz ist die Deutsche Post AG verpflichtet, Universaldienstleistungen im Sinne der gemäß § 11 Abs. 2 erlassenen Verordnung zu erbringen. Die §§ 12 bis 17 und 56 gelten für diesen Zeitraum nicht.</w:t>
      </w:r>
    </w:p>
    <w:p>
      <w:r>
        <w:rPr>
          <w:color w:val="555555"/>
          <w:sz w:val="17"/>
        </w:rPr>
        <w:t xml:space="preserve">Zitiervorschlag: § 52 PostG 1998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https://recht.nulegal.eu/gesetze/PostG%201998/52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