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PostG 1998 — Befristete gesetzliche Exklusivlizenz</w:t>
      </w:r>
    </w:p>
    <w:p>
      <w:r>
        <w:rPr>
          <w:color w:val="555555"/>
          <w:sz w:val="18"/>
        </w:rPr>
        <w:t xml:space="preserve">Postgesetz</w:t>
      </w:r>
    </w:p>
    <w:p>
      <w:r>
        <w:rPr>
          <w:color w:val="555555"/>
          <w:sz w:val="18"/>
        </w:rPr>
        <w:t xml:space="preserve">Historische Fassung: Stand 10.06.2019 bis 19.07.2024. Dies ist nicht die aktuelle Fassung.</w:t>
      </w:r>
    </w:p>
    <w:p>
      <w:r>
        <w:t xml:space="preserve">(1) Bis zum 31. Dezember 2007 steht der Deutschen Post AG das ausschließliche Recht zu, Briefsendungen und adressierte Kataloge, deren Einzelgewicht bis 50 Gramm und deren Einzelpreis weniger als das Zweieinhalbfache des Preises für entsprechende Postsendungen der untersten Gewichtsklasse beträgt, gewerbsmäßig zu befördern (gesetzliche Exklusivlizenz). Satz 1 gilt nicht</w:t>
      </w:r>
    </w:p>
    <w:p>
      <w:pPr>
        <w:ind w:left="420"/>
      </w:pPr>
      <w:r>
        <w:t xml:space="preserve">1. (weggefallen)</w:t>
      </w:r>
    </w:p>
    <w:p>
      <w:pPr>
        <w:ind w:left="420"/>
      </w:pPr>
      <w:r>
        <w:t xml:space="preserve">2. für die Beförderung von Briefsendungen, die vom Absender in einer Austauschzentrale eingeliefert und vom Empfänger in derselben oder einer anderen Austauschzentrale desselben Diensteanbieters abgeholt werden, wobei Absender und Empfänger diesen Dienst im Rahmen eines Dauerschuldverhältnisses in Anspruch nehmen (Dokumentenaustauschdienst),</w:t>
      </w:r>
    </w:p>
    <w:p>
      <w:pPr>
        <w:ind w:left="420"/>
      </w:pPr>
      <w:r>
        <w:t xml:space="preserve">3. für die Beförderung von Briefsendungen, soweit es hierzu nach § 5 Abs. 2 keiner Lizenz bedarf,</w:t>
      </w:r>
    </w:p>
    <w:p>
      <w:pPr>
        <w:ind w:left="420"/>
      </w:pPr>
      <w:r>
        <w:t xml:space="preserve">4. für Dienstleistungen, die von Universaldienstleistungen trennbar sind, besondere Leistungsmerkmale aufweisen und qualitativ höherwertig sind,</w:t>
      </w:r>
    </w:p>
    <w:p>
      <w:pPr>
        <w:ind w:left="420"/>
      </w:pPr>
      <w:r>
        <w:t xml:space="preserve">5. für denjenigen, der Briefsendungen im Auftrage des Absenders bei diesem abholt und bei der nächsten Annahmestelle der Deutschen Post AG oder bei einer anderen Annahmestelle der Deutschen Post AG innerhalb derselben Gemeinde einliefert,</w:t>
      </w:r>
    </w:p>
    <w:p>
      <w:pPr>
        <w:ind w:left="420"/>
      </w:pPr>
      <w:r>
        <w:t xml:space="preserve">6. für denjenigen, der Briefsendungen im Auftrage des Empfängers aus Postfachanlagen der Deutschen Post AG abholt und an den Empfänger ausliefert.</w:t>
      </w:r>
    </w:p>
    <w:p>
      <w:r>
        <w:t xml:space="preserve">(2) (weggefallen)</w:t>
      </w:r>
    </w:p>
    <w:p>
      <w:r>
        <w:rPr>
          <w:color w:val="555555"/>
          <w:sz w:val="17"/>
        </w:rPr>
        <w:t xml:space="preserve">Zitiervorschlag: § 51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