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PostG 1998 — Bußgeldvorschriften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02.12.2019 bis 19.07.2024. Dies ist nicht die aktuelle Fassung.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ohne Erlaubnis nach § 5 Abs. 1 eine Briefsendung befördert,</w:t>
      </w:r>
    </w:p>
    <w:p>
      <w:pPr>
        <w:ind w:left="420"/>
      </w:pPr>
      <w:r>
        <w:t xml:space="preserve">2. entgegen § 10 Abs. 1 oder 2 Satz 1 oder 2 Postdienstleistungen nicht in rechtlich selbständigen Unternehmen erbringt oder die Nachvollziehbarkeit der finanziellen Beziehungen nicht oder nicht in der vorgeschriebenen Weise gewährleistet,</w:t>
      </w:r>
    </w:p>
    <w:p>
      <w:pPr>
        <w:ind w:left="420"/>
      </w:pPr>
      <w:r>
        <w:t xml:space="preserve">3. einer vollziehbaren Anordnung nach § 13 Abs. 2 Satz 1, Abs. 3 Satz 1, Abs. 5 Satz 1, § 23 Abs. 3, auch in Verbindung mit § 27, § 24 Abs. 4, § 25 Abs. 3, § 31 Abs. 2 oder § 32 Abs. 2 Satz 1 zuwiderhandelt,</w:t>
      </w:r>
    </w:p>
    <w:p>
      <w:pPr>
        <w:ind w:left="420"/>
      </w:pPr>
      <w:r>
        <w:t xml:space="preserve">4. entgegen</w:t>
      </w:r>
    </w:p>
    <w:p>
      <w:pPr>
        <w:ind w:left="780"/>
      </w:pPr>
      <w:r>
        <w:t xml:space="preserve">a) § 17 Abs. 1 Satz 1 oder</w:t>
      </w:r>
    </w:p>
    <w:p>
      <w:pPr>
        <w:ind w:left="780"/>
      </w:pPr>
      <w:r>
        <w:t xml:space="preserve">b) § 56</w:t>
      </w:r>
    </w:p>
    <w:p>
      <w:pPr>
        <w:ind w:left="420"/>
      </w:pPr>
      <w:r>
        <w:t xml:space="preserve">eine Mitteilung nicht, nicht richtig, nicht vollständig oder nicht rechtzeitig macht,</w:t>
      </w:r>
    </w:p>
    <w:p>
      <w:pPr>
        <w:ind w:left="420"/>
      </w:pPr>
      <w:r>
        <w:t xml:space="preserve">5. ohne Genehmigung nach § 19 ein Entgelt erhebt,</w:t>
      </w:r>
    </w:p>
    <w:p>
      <w:pPr>
        <w:ind w:left="420"/>
      </w:pPr>
      <w:r>
        <w:t xml:space="preserve">6. entgegen § 30 einen Vertrag nicht, nicht richtig, nicht vollständig oder nicht rechtzeitig vorlegt,</w:t>
      </w:r>
    </w:p>
    <w:p>
      <w:pPr>
        <w:ind w:left="420"/>
      </w:pPr>
      <w:r>
        <w:t xml:space="preserve">7. entgegen § 36 Satz 1 eine Anzeige nicht, nicht richtig, nicht vollständig, nicht in der vorgeschriebenen Weise oder nicht rechtzeitig erstattet,</w:t>
      </w:r>
    </w:p>
    <w:p>
      <w:pPr>
        <w:ind w:left="420"/>
      </w:pPr>
      <w:r>
        <w:t xml:space="preserve">8. entgegen § 37 eine Information nicht, nicht richtig, nicht vollständig oder nicht rechtzeitig zur Verfügung stellt,</w:t>
      </w:r>
    </w:p>
    <w:p>
      <w:pPr>
        <w:ind w:left="420"/>
      </w:pPr>
      <w:r>
        <w:t xml:space="preserve">9. entgegen § 43 Abs. 1 Satz 2 ein Postwertzeichen in einer zur Verwechslung geeigneten Weise bildlich wiedergibt oder</w:t>
      </w:r>
    </w:p>
    <w:p>
      <w:pPr>
        <w:ind w:left="420"/>
      </w:pPr>
      <w:r>
        <w:t xml:space="preserve">10. entgegen § 52 Satz 1 in Verbindung mit einer Rechtsverordnung nach § 11 Abs. 2 Satz 1 eine Universaldienstleistung nicht oder nicht richtig erbringt.</w:t>
      </w:r>
    </w:p>
    <w:p>
      <w:r>
        <w:t xml:space="preserve">(2) Die Ordnungswidrigkeit kann in den Fällen des Absatzes 1 Nr. 1, 2, 3, 4 Buchstabe b, Nr. 5 und 10 mit einer Geldbuße bis zu 500 000 Euro, in den Fällen des Absatzes 1 Nr. 6 und 9 mit einer Geldbuße bis zu 50 000 Euro, in den übrigen Fällen mit einer Geldbuße bis zu 10 000 Euro geahndet werden.</w:t>
      </w:r>
    </w:p>
    <w:p>
      <w:r>
        <w:t xml:space="preserve">(3) Verwaltungsbehörde im Sinne des § 36 Absatz 1 Nummer 1 des Gesetzes über Ordnungswidrigkeiten ist die Regulierungsbehörde. Die Befugnisse der oder des Bundesbeauftragten für den Datenschutz und die Informationsfreiheit nach der Verordnung (EU) 2016/679 bleiben unberührt.</w:t>
      </w:r>
    </w:p>
    <w:p>
      <w:r>
        <w:rPr>
          <w:color w:val="555555"/>
          <w:sz w:val="17"/>
        </w:rPr>
        <w:t xml:space="preserve">Zitiervorschlag: § 49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