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PostG 1998 — Zusammenarbeit mit dem Bundeskartellamt</w:t>
      </w:r>
    </w:p>
    <w:p>
      <w:r>
        <w:rPr>
          <w:color w:val="555555"/>
          <w:sz w:val="18"/>
        </w:rPr>
        <w:t xml:space="preserve">Postgesetz</w:t>
      </w:r>
    </w:p>
    <w:p>
      <w:r>
        <w:rPr>
          <w:color w:val="555555"/>
          <w:sz w:val="18"/>
        </w:rPr>
        <w:t xml:space="preserve">Historische Fassung: Stand 10.06.2019 bis 19.07.2024. Dies ist nicht die aktuelle Fassung.</w:t>
      </w:r>
    </w:p>
    <w:p>
      <w:r>
        <w:t xml:space="preserve">Die Regulierungsbehörde entscheidet im Einvernehmen mit dem Bundeskartellamt über die Abgrenzung sachlich und räumlich relevanter Märkte und die Feststellung einer marktbeherrschenden Stellung im Rahmen dieses Gesetzes. Trifft die Regulierungsbehörde Entscheidungen nach den Abschnitten 5 und 6 dieses Gesetzes, gibt sie dem Bundeskartellamt vor Abschluß des Verfahrens Gelegenheit zur Stellungnahme. § 82 Satz 4 bis 6 des Telekommunikationsgesetzes gilt entsprechend.</w:t>
      </w:r>
    </w:p>
    <w:p>
      <w:r>
        <w:rPr>
          <w:color w:val="555555"/>
          <w:sz w:val="17"/>
        </w:rPr>
        <w:t xml:space="preserve">Zitiervorschlag: § 48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