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PostG 1998 — Beschlußkammern</w:t>
      </w:r>
    </w:p>
    <w:p>
      <w:r>
        <w:rPr>
          <w:color w:val="555555"/>
          <w:sz w:val="18"/>
        </w:rPr>
        <w:t xml:space="preserve">Postgesetz</w:t>
      </w:r>
    </w:p>
    <w:p>
      <w:r>
        <w:rPr>
          <w:color w:val="555555"/>
          <w:sz w:val="18"/>
        </w:rPr>
        <w:t xml:space="preserve">Historische Fassung: Stand 10.06.2019 bis 19.07.2024. Dies ist nicht die aktuelle Fassung.</w:t>
      </w:r>
    </w:p>
    <w:p>
      <w:r>
        <w:t xml:space="preserve">(1) In den Fällen der §§ 13 und 14 sowie 19 bis 32 entscheidet die Regulierungsbehörde durch Beschlußkammern.</w:t>
      </w:r>
    </w:p>
    <w:p>
      <w:r>
        <w:t xml:space="preserve">(2) In den Fällen der §§ 13 und 14 entscheidet die Beschlußkammer in der Besetzung mit dem Präsidenten als Vorsitzendem und den beiden Vizepräsidenten als Beisitzern. Die Entscheidung erfolgt im Benehmen mit dem Beirat.</w:t>
      </w:r>
    </w:p>
    <w:p>
      <w:r>
        <w:t xml:space="preserve">(3) § 73 Abs. 1 Satz 2 und 3, Abs. 2, 3 Satz 2 und Abs. 4 des Telekommunikationsgesetzes gilt entsprechend. Im Falle des Absatzes 2 Satz 1 findet § 73 Abs. 4 des Telekommunikationsgesetzes keine entsprechende Anwendung.</w:t>
      </w:r>
    </w:p>
    <w:p>
      <w:r>
        <w:rPr>
          <w:color w:val="555555"/>
          <w:sz w:val="17"/>
        </w:rPr>
        <w:t xml:space="preserve">Zitiervorschlag: § 46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