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41c PostG 1998 — Fundbriefe</w:t>
      </w:r>
    </w:p>
    <w:p>
      <w:r>
        <w:rPr>
          <w:color w:val="555555"/>
          <w:sz w:val="18"/>
        </w:rPr>
        <w:t xml:space="preserve">Postgesetz</w:t>
      </w:r>
    </w:p>
    <w:p>
      <w:r>
        <w:rPr>
          <w:color w:val="555555"/>
          <w:sz w:val="18"/>
        </w:rPr>
        <w:t xml:space="preserve">Historische Fassung: Stand 02.12.2019 bis 19.07.2024. Dies ist nicht die aktuelle Fassung.</w:t>
      </w:r>
    </w:p>
    <w:p>
      <w:r>
        <w:t xml:space="preserve">Diensteanbieter dürfen personenbezogene Daten auch in den Fällen verarbeiten, in denen Postsendungen in ihren Betriebsablauf gelangt sind, die nicht zur Beförderung durch sie bestimmt waren, soweit die Verarbeitung dieser Daten zur Zustellung oder Rückführung der Postsendungen oder zum Zwecke der Entgeltabrechnung erforderlich ist. Diensteanbieter dürfen diese Postsendungen öffnen, wenn weder hinreichende Absender- oder Empfängerangaben auf dem Umschlag erkennbar sind noch eine Übergabe der Postsendung an den vom Kunden gewählten Diensteanbieter möglich ist.</w:t>
      </w:r>
    </w:p>
    <w:p>
      <w:r>
        <w:rPr>
          <w:color w:val="555555"/>
          <w:sz w:val="17"/>
        </w:rPr>
        <w:t xml:space="preserve">Zitiervorschlag: § 41c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https://recht.nulegal.eu/gesetze/PostG%201998/41c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