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PostG 1998 — Anzeigepflicht</w:t>
      </w:r>
    </w:p>
    <w:p>
      <w:r>
        <w:rPr>
          <w:color w:val="555555"/>
          <w:sz w:val="18"/>
        </w:rPr>
        <w:t xml:space="preserve">Postgesetz</w:t>
      </w:r>
    </w:p>
    <w:p>
      <w:r>
        <w:rPr>
          <w:color w:val="555555"/>
          <w:sz w:val="18"/>
        </w:rPr>
        <w:t xml:space="preserve">Historische Fassung: Stand 10.06.2019 bis 19.07.2024. Dies ist nicht die aktuelle Fassung.</w:t>
      </w:r>
    </w:p>
    <w:p>
      <w:r>
        <w:t xml:space="preserve">Wer Postdienstleistungen erbringt, ohne einer Lizenz zu bedürfen, hat die Aufnahme, Änderung und Beendigung des Betriebs innerhalb eines Monats der Regulierungsbehörde schriftlich oder elektronisch anzuzeigen. Die Regulierungsbehörde kann die eingegangenen Anzeigen in ihrem Amtsblatt veröffentlichen.</w:t>
      </w:r>
    </w:p>
    <w:p>
      <w:r>
        <w:rPr>
          <w:color w:val="555555"/>
          <w:sz w:val="17"/>
        </w:rPr>
        <w:t xml:space="preserve">Zitiervorschlag: § 36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