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PostG 1998 — Entgelt für die förmliche Zustellung</w:t>
      </w:r>
    </w:p>
    <w:p>
      <w:r>
        <w:rPr>
          <w:color w:val="555555"/>
          <w:sz w:val="18"/>
        </w:rPr>
        <w:t xml:space="preserve">Postgesetz</w:t>
      </w:r>
    </w:p>
    <w:p>
      <w:r>
        <w:rPr>
          <w:color w:val="555555"/>
          <w:sz w:val="18"/>
        </w:rPr>
        <w:t xml:space="preserve">Historische Fassung: Stand 18.03.2021 bis 19.07.2024. Dies ist nicht die aktuelle Fassung.</w:t>
      </w:r>
    </w:p>
    <w:p>
      <w:r>
        <w:t xml:space="preserve">Der verpflichtete Lizenznehmer hat Anspruch auf ein Entgelt. Durch dieses werden alle von dem Lizenznehmer erbrachten Leistungen einschließlich der hoheitlichen Beurkundung und Rücksendung der Beurkundungsunterlagen an die auftraggebende Stelle abgegolten. Das Entgelt hat den Maßstäben des § 20 Absatz 1 und 3 zu entsprechen. Es bedarf der Genehmigung durch die Regulierungsbehörde, soweit der Lizenznehmer marktbeherrschend ist. Das Bundesministerium der Justiz und für Verbraucherschutz und das Bundesministerium des Innern, für Bau und Heimat sind unverzüglich über beabsichtigte Entgeltgenehmigungen zu informieren.</w:t>
      </w:r>
    </w:p>
    <w:p>
      <w:r>
        <w:rPr>
          <w:color w:val="555555"/>
          <w:sz w:val="17"/>
        </w:rPr>
        <w:t xml:space="preserve">Zitiervorschlag: § 34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