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PostG 1998 — Besondere Mißbrauchsaufsicht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Die Regulierungsbehörde hat gegenüber einem Anbieter, der auf einem Markt für Postdienstleistungen marktbeherrschend ist, die in Absatz 2 genannten Befugnisse, soweit dieses Unternehmen seine marktbeherrschende Stellung mißbräuchlich ausnutzt. Ein Mißbrauch im Sinne des Satzes 1 liegt insbesondere vor, wenn ein marktbeherrschender Anbieter von Postdienstleistungen durch Verträge über Leistungen nach den §§ 28 und 29 die Wettbewerbsmöglichkeiten anderer Anbieter von Postdienstleistungen ohne sachlich gerechtfertigten Grund beeinträchtigt.</w:t>
      </w:r>
    </w:p>
    <w:p>
      <w:r>
        <w:t xml:space="preserve">(2) Die Regulierungsbehörde kann einem Unternehmen, das gegen Absatz 1 verstößt, ein Verhalten auferlegen oder ein mißbräuchliches Verhalten untersagen und Verträge ganz oder teilweise für unwirksam erklären. Zuvor fordert die Regulierungsbehörde das Unternehmen auf, den beanstandeten Mißbrauch abzustellen.</w:t>
      </w:r>
    </w:p>
    <w:p>
      <w:r>
        <w:rPr>
          <w:color w:val="555555"/>
          <w:sz w:val="17"/>
        </w:rPr>
        <w:t xml:space="preserve">Zitiervorschlag: § 32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