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PostG 1998 — Schlichtung und Anordnungen der Regulierungsbehörde</w:t>
      </w:r>
    </w:p>
    <w:p>
      <w:r>
        <w:rPr>
          <w:color w:val="555555"/>
          <w:sz w:val="18"/>
        </w:rPr>
        <w:t xml:space="preserve">Postgesetz</w:t>
      </w:r>
    </w:p>
    <w:p>
      <w:r>
        <w:rPr>
          <w:color w:val="555555"/>
          <w:sz w:val="18"/>
        </w:rPr>
        <w:t xml:space="preserve">Historische Fassung: Stand 10.06.2019 bis 19.07.2024. Dies ist nicht die aktuelle Fassung.</w:t>
      </w:r>
    </w:p>
    <w:p>
      <w:r>
        <w:t xml:space="preserve">(1) Kommt zwischen einem nach § 28 oder § 29 verpflichteten Lizenznehmer und einem Nachfrager, der Teilleistungen nach § 28 in Anspruch nehmen will oder eine Mitbenutzung von Postfachanlagen oder den Zugang zu Adreßänderungen nach § 29 fordert, ein Vertrag innerhalb von drei Monaten ab Geltendmachung des Anspruchs nicht zustande, können die Beteiligten gemeinsam die Regulierungsbehörde als Schlichtungsstelle anrufen.</w:t>
      </w:r>
    </w:p>
    <w:p>
      <w:r>
        <w:t xml:space="preserve">(2) Kommt zwischen einem nach § 28 oder § 29 verpflichteten Lizenznehmer und einem Nachfrager, der Teilleistungen nach § 28 in Anspruch nehmen will oder eine Mitbenutzung von Postfachanlagen oder den Zugang zu Adreßänderungen nach § 29 fordert, ein Vertrag innerhalb von drei Monaten ab Geltendmachung des Anspruchs nicht zustande, hat die Regulierungsbehörde nach Anrufung durch einen der Beteiligten innerhalb von zwei Monaten die Bedingungen eines Vertrages festzulegen und die Geltung dieses Vertrages anzuordnen.</w:t>
      </w:r>
    </w:p>
    <w:p>
      <w:r>
        <w:t xml:space="preserve">(3) § 26 Abs. 1 und 2 gilt entsprechend.</w:t>
      </w:r>
    </w:p>
    <w:p>
      <w:r>
        <w:rPr>
          <w:color w:val="555555"/>
          <w:sz w:val="17"/>
        </w:rPr>
        <w:t xml:space="preserve">Zitiervorschlag: § 31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