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PostG 1998 — Vorlagepflicht für Verträge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Verträge über Teilleistungen nach § 28 und Verträge über eine Mitbenutzung von Postfachanlagen oder den Zugang zu Adreßänderungen nach § 29 sind der Regulierungsbehörde innerhalb eines Monats nach Vertragsabschluß von dem marktbeherrschenden Anbieter vorzulegen.</w:t>
      </w:r>
    </w:p>
    <w:p>
      <w:r>
        <w:t xml:space="preserve">(2) Die Regulierungsbehörde veröffentlich in ihrem Amtsblatt, wann und wo Entgelte und andere Bedingungen für Teilleistungen nach § 28 sowie für den Zugang zu Postfachanlagen und Adressänderungen nach § 29, die nicht in Allgemeinen Geschäftsbedingungen enthalten sind, eingesehen werden können.</w:t>
      </w:r>
    </w:p>
    <w:p>
      <w:r>
        <w:rPr>
          <w:color w:val="555555"/>
          <w:sz w:val="17"/>
        </w:rPr>
        <w:t xml:space="preserve">Zitiervorschlag: § 30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