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PostG 1998 — Zugang zu Postfachanlagen und Adreßänderungen</w:t>
      </w:r>
    </w:p>
    <w:p>
      <w:r>
        <w:rPr>
          <w:color w:val="555555"/>
          <w:sz w:val="18"/>
        </w:rPr>
        <w:t xml:space="preserve">Postgesetz</w:t>
      </w:r>
    </w:p>
    <w:p>
      <w:r>
        <w:rPr>
          <w:color w:val="555555"/>
          <w:sz w:val="18"/>
        </w:rPr>
        <w:t xml:space="preserve">Historische Fassung: Stand 10.06.2019 bis 19.07.2024. Dies ist nicht die aktuelle Fassung.</w:t>
      </w:r>
    </w:p>
    <w:p>
      <w:r>
        <w:t xml:space="preserve">(1) Ist ein Lizenznehmer auf einem Markt für lizenzpflichtige Postdienstleistungen marktbeherrschend, so ist er, soweit dies nachgefragt wird, verpflichtet, auf diesem Markt anderen Anbietern von Postdienstleistungen gegen Entrichtung eines Entgelts die Zuführung von Postsendungen zu den von ihm betriebenen Postfachanlagen zu gestatten, es sei denn, dies ist sachlich nicht gerechtfertigt. § 28 Abs. 2 und 3 gilt entsprechend.</w:t>
      </w:r>
    </w:p>
    <w:p>
      <w:r>
        <w:t xml:space="preserve">(2) Absatz 1 gilt entsprechend für den Zugang zu den bei einem marktbeherrschenden Lizenznehmer vorhandenen Informationen über Adreßänderungen.</w:t>
      </w:r>
    </w:p>
    <w:p>
      <w:r>
        <w:rPr>
          <w:color w:val="555555"/>
          <w:sz w:val="17"/>
        </w:rPr>
        <w:t xml:space="preserve">Zitiervorschlag: § 29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