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PostG 1998 — Änderung entgeltrelevanter Allgemeiner Geschäftsbedingungen</w:t>
      </w:r>
    </w:p>
    <w:p>
      <w:r>
        <w:rPr>
          <w:color w:val="555555"/>
          <w:sz w:val="18"/>
        </w:rPr>
        <w:t xml:space="preserve">Postgesetz</w:t>
      </w:r>
    </w:p>
    <w:p>
      <w:r>
        <w:rPr>
          <w:color w:val="555555"/>
          <w:sz w:val="18"/>
        </w:rPr>
        <w:t xml:space="preserve">Historische Fassung: Stand 10.06.2019 bis 19.07.2024. Dies ist nicht die aktuelle Fassung.</w:t>
      </w:r>
    </w:p>
    <w:p>
      <w:r>
        <w:t xml:space="preserve">Die §§ 19 bis 26 sind auch dann anzuwenden, wenn Allgemeine Geschäftsbedingungen geändert werden und dadurch, ohne daß die als Entgelte festgelegten Beträge geändert werden, für eine bestimmte Leistung ein anderes als das bisher geltende Entgelt zur Anwendung kommt.</w:t>
      </w:r>
    </w:p>
    <w:p>
      <w:r>
        <w:rPr>
          <w:color w:val="555555"/>
          <w:sz w:val="17"/>
        </w:rPr>
        <w:t xml:space="preserve">Zitiervorschlag: § 27 PostG 1998</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https://recht.nulegal.eu/gesetze/PostG%201998/27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