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PostG 1998 — Anordnungen im Rahmen der Entgeltgenehmigung und Entgeltüberprüfung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(1) Zur Durchführung der Entgeltgenehmigung nach § 22 oder zur Überprüfung von Entgelten nach den §§ 24 und 25 kann die Regulierungsbehörde anordnen, daß der Anbieter</w:t>
      </w:r>
    </w:p>
    <w:p>
      <w:pPr>
        <w:ind w:left="420"/>
      </w:pPr>
      <w:r>
        <w:t xml:space="preserve">1. die erforderlichen detaillierten Angaben zum Leistungsangebot, zum aktuellen und erwarteten Umsatz, zu den aktuellen und erwarteten Absatzmengen und Kosten sowie zu den voraussehbaren Auswirkungen auf Kunden und Wettbewerber macht,</w:t>
      </w:r>
    </w:p>
    <w:p>
      <w:pPr>
        <w:ind w:left="420"/>
      </w:pPr>
      <w:r>
        <w:t xml:space="preserve">2. sonstige erforderliche Unterlagen zur Verfügung stellt,</w:t>
      </w:r>
    </w:p>
    <w:p>
      <w:pPr>
        <w:ind w:left="420"/>
      </w:pPr>
      <w:r>
        <w:t xml:space="preserve">3. seine Kostenrechnung innerhalb einer angemessenen Frist in einer Form ausgestaltet, die es der Regulierungsbehörde ermöglicht, die erforderlichen Daten über Kosten zu erlangen.</w:t>
      </w:r>
    </w:p>
    <w:p>
      <w:r>
        <w:t xml:space="preserve">(2) Zur Durchsetzung dieser Anordnungen kann nach Maßgabe des Verwaltungs-Vollstreckungsgesetzes ein Zwangsgeld bis zu 500.000 Euro festgesetzt werden.</w:t>
      </w:r>
    </w:p>
    <w:p>
      <w:r>
        <w:t xml:space="preserve">(3) Die Regulierungsbehörde kann vorschreiben, in welcher Form ein Entgelt oder eine Entgeltänderung zu veröffentlichen ist.</w:t>
      </w:r>
    </w:p>
    <w:p>
      <w:r>
        <w:rPr>
          <w:color w:val="555555"/>
          <w:sz w:val="17"/>
        </w:rPr>
        <w:t xml:space="preserve">Zitiervorschlag: § 26 PostG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https://recht.nulegal.eu/gesetze/PostG%201998/26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