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PostG 1998 — Abweichung von genehmigten Entgelten</w:t>
      </w:r>
    </w:p>
    <w:p>
      <w:r>
        <w:rPr>
          <w:color w:val="555555"/>
          <w:sz w:val="18"/>
        </w:rPr>
        <w:t xml:space="preserve">Postgesetz</w:t>
      </w:r>
    </w:p>
    <w:p>
      <w:r>
        <w:rPr>
          <w:color w:val="555555"/>
          <w:sz w:val="18"/>
        </w:rPr>
        <w:t xml:space="preserve">Historische Fassung: Stand 10.06.2019 bis 19.07.2024. Dies ist nicht die aktuelle Fassung.</w:t>
      </w:r>
    </w:p>
    <w:p>
      <w:r>
        <w:t xml:space="preserve">(1) Der Lizenznehmer ist verpflichtet, ausschließlich die von der Regulierungsbehörde genehmigten Entgelte zu verlangen.</w:t>
      </w:r>
    </w:p>
    <w:p>
      <w:r>
        <w:t xml:space="preserve">(2) Verträge über Dienstleistungen, die andere als die genehmigten Entgelte enthalten, sind mit der Maßgabe wirksam, daß das genehmigte Entgelt an die Stelle des vereinbarten Entgelts tritt. Fehlt es an einem genehmigten Entgelt, obwohl das Entgelt nach § 19 genehmigungsbedürftig ist, so sind die Verträge unwirksam.</w:t>
      </w:r>
    </w:p>
    <w:p>
      <w:r>
        <w:t xml:space="preserve">(3) Die Regulierungsbehörde kann die Durchführung eines Vertrages, der ein anderes als das genehmigte Entgelt enthält oder der nach Absatz 2 Satz 2 unwirksam ist, untersagen.</w:t>
      </w:r>
    </w:p>
    <w:p>
      <w:r>
        <w:rPr>
          <w:color w:val="555555"/>
          <w:sz w:val="17"/>
        </w:rPr>
        <w:t xml:space="preserve">Zitiervorschlag: § 23 PostG 1998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https://recht.nulegal.eu/gesetze/PostG%201998/23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