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PostG 1998 — Entscheidung über die Entgeltgenehmigung</w:t>
      </w:r>
    </w:p>
    <w:p>
      <w:r>
        <w:rPr>
          <w:color w:val="555555"/>
          <w:sz w:val="18"/>
        </w:rPr>
        <w:t xml:space="preserve">Postgesetz</w:t>
      </w:r>
    </w:p>
    <w:p>
      <w:r>
        <w:rPr>
          <w:color w:val="555555"/>
          <w:sz w:val="18"/>
        </w:rPr>
        <w:t xml:space="preserve">Historische Fassung: Stand 10.06.2019 bis 19.07.2024. Dies ist nicht die aktuelle Fassung.</w:t>
      </w:r>
    </w:p>
    <w:p>
      <w:r>
        <w:t xml:space="preserve">(1) Die Genehmigung der Entgelte ist schriftlich zu beantragen. Läuft eine befristete Genehmigung aus, ist der Antrag für eine sich anschließende Genehmigung spätestens zehn Wochen vor Fristablauf vorzulegen.</w:t>
      </w:r>
    </w:p>
    <w:p>
      <w:r>
        <w:t xml:space="preserve">(2) Die Regulierungsbehörde entscheidet über einen Genehmigungsantrag innerhalb von sechs Wochen nach Eingang des Antrags. Sie kann die Frist durch Mitteilung an den Antragsteller um bis zu vier Wochen verlängern. Innerhalb dieser vier Wochen hat die Regulierungsbehörde über den Entgeltantrag zu entscheiden.</w:t>
      </w:r>
    </w:p>
    <w:p>
      <w:r>
        <w:t xml:space="preserve">(3) Die Genehmigung kann mit den in § 36 Abs. 2 des Verwaltungsverfahrensgesetzes genannten Nebenbestimmungen versehen werden.</w:t>
      </w:r>
    </w:p>
    <w:p>
      <w:r>
        <w:t xml:space="preserve">(4) Genehmigte Entgelte sind im Amtsblatt der Regulierungsbehörde zu veröffentlichen.</w:t>
      </w:r>
    </w:p>
    <w:p>
      <w:r>
        <w:rPr>
          <w:color w:val="555555"/>
          <w:sz w:val="17"/>
        </w:rPr>
        <w:t xml:space="preserve">Zitiervorschlag: § 22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