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PostG 1998 — Arten und Verfahren der Entgeltgenehmigung</w:t>
      </w:r>
    </w:p>
    <w:p>
      <w:r>
        <w:rPr>
          <w:color w:val="555555"/>
          <w:sz w:val="18"/>
        </w:rPr>
        <w:t xml:space="preserve">Postgesetz</w:t>
      </w:r>
    </w:p>
    <w:p>
      <w:r>
        <w:rPr>
          <w:color w:val="555555"/>
          <w:sz w:val="18"/>
        </w:rPr>
        <w:t xml:space="preserve">Historische Fassung: Stand 18.03.2021 bis 19.07.2024. Dies ist nicht die aktuelle Fassung.</w:t>
      </w:r>
    </w:p>
    <w:p>
      <w:r>
        <w:t xml:space="preserve">(1) Die Regulierungsbehörde genehmigt Entgelte</w:t>
      </w:r>
    </w:p>
    <w:p>
      <w:pPr>
        <w:ind w:left="420"/>
      </w:pPr>
      <w:r>
        <w:t xml:space="preserve">1. auf der Grundlage der auf die einzelne Dienstleistung entfallenden Kosten der effizienten Leistungsbereitstellung oder</w:t>
      </w:r>
    </w:p>
    <w:p>
      <w:pPr>
        <w:ind w:left="420"/>
      </w:pPr>
      <w:r>
        <w:t xml:space="preserve">2. auf der Grundlage der von ihr vorgegebenen Maßgrößen für die durchschnittlichen Änderungsraten der Entgelte für einen Korb zusammengefaßter Dienstleistungen.</w:t>
      </w:r>
    </w:p>
    <w:p>
      <w:r>
        <w:t xml:space="preserve">(2) Im Falle des Absatzes 1 Nr. 1 prüft die Regulierungsbehörde für jedes einzelne Entgelt, ob es den Anforderungen des § 20 Absatz 3 Satz 1 Nummer 1 entspricht. Im Falle des Absatzes 1 Nr. 2 gelten bei Einhaltung der festgelegten Maßgrößen die Anforderungen des § 20 Absatz 3 Satz 1 Nummer 1 als erfüllt.</w:t>
      </w:r>
    </w:p>
    <w:p>
      <w:r>
        <w:t xml:space="preserve">(3) Die Genehmigung der Entgelte ist zu versagen, wenn nach Maßgabe des Absatzes 2 die Entgelte den Anforderungen des § 20 Absatz 3 Satz 1 Nummer 1 nicht entsprechen oder wenn sie gegen andere Rechtsvorschriften verstoßen. Die Genehmigung ist ferner zu versagen, wenn offenkundig ist, daß die Entgelte den Anforderungen des § 20 Absatz 3 Satz 1 Nummer 2 oder 3 nicht entsprechen.</w:t>
      </w:r>
    </w:p>
    <w:p>
      <w:r>
        <w:t xml:space="preserve">(4) Die Bundesregierung erläßt durch Rechtsverordnung, die nicht der Zustimmung des Bundesrates bedarf, nähere Bestimmungen über die in Absatz 1 genannten Genehmigungsarten und die Voraussetzungen, nach denen die Regulierungsbehörde zu entscheiden hat, welches der in Absatz 1 genannten Verfahren zur Anwendung kommt. In der Rechtsverordnung sind die Einzelheiten des Verfahrens zu regeln, insbesondere die Verpflichtung des Lizenznehmers zur Vorlage von Unterlagen, die Ausgestaltung der vom Lizenznehmer zu erstellenden Kostenrechnung sowie die Verpflichtung der Regulierungsbehörde zur Veröffentlichung der Entgelte. Ferner sind die Bestandteile und der Inhalt der in Absatz 1 Nr. 2 genannten Maßgrößen und Körbe zu bestimmen. Die Sätze 1 und 2 gelten auch für die Entgeltüberprüfung nach den §§ 24 und 25.</w:t>
      </w:r>
    </w:p>
    <w:p>
      <w:r>
        <w:rPr>
          <w:color w:val="555555"/>
          <w:sz w:val="17"/>
        </w:rPr>
        <w:t xml:space="preserve">Zitiervorschlag: § 21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