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PostG 1998 — Maßstäbe der Entgeltgenehmigung</w:t>
      </w:r>
    </w:p>
    <w:p>
      <w:r>
        <w:rPr>
          <w:color w:val="555555"/>
          <w:sz w:val="18"/>
        </w:rPr>
        <w:t xml:space="preserve">Postgesetz</w:t>
      </w:r>
    </w:p>
    <w:p>
      <w:r>
        <w:rPr>
          <w:color w:val="555555"/>
          <w:sz w:val="18"/>
        </w:rPr>
        <w:t xml:space="preserve">Historische Fassung: Stand 18.03.2021 bis 19.07.2024. Dies ist nicht die aktuelle Fassung.</w:t>
      </w:r>
    </w:p>
    <w:p>
      <w:r>
        <w:t xml:space="preserve">(1) Genehmigungsbedürftige Entgelte haben sich an den Kosten einer effizienten Leistungsbereitstellung zu orientieren und den Anforderungen nach Absatz 3 zu entsprechen.</w:t>
      </w:r>
    </w:p>
    <w:p>
      <w:r>
        <w:t xml:space="preserve">(2) Die Kosten der effizienten Leistungsbereitstellung ergeben sich aus den langfristigen zusätzlichen Kosten der Leistungsbereitstellung und einem angemessenen Zuschlag für leistungsmengenneutrale Gemeinkosten, jeweils einschließlich eines angemessenen Gewinnzuschlags, soweit die Kosten jeweils für die Leistungsbereitstellung notwendig sind. Bei der Ermittlung des angemessenen Gewinnzuschlags sind insbesondere die Gewinnmargen solcher Unternehmen als Vergleich heranzuziehen, die mit dem beantragenden Unternehmen in struktureller Hinsicht vergleichbar und in anderen europäischen Ländern auf den mit dem lizenzierten Bereich vergleichbaren, dem Wettbewerb geöffneten Märkten tätig sind. Bei der Vergleichsbetrachtung bleiben solche Zeiträume unberücksichtigt, in denen die wirtschaftliche Entwicklung in einer erheblichen Anzahl der Vergleichsländer durch außergewöhnliche Umstände beeinflusst wurde.</w:t>
      </w:r>
    </w:p>
    <w:p>
      <w:r>
        <w:t xml:space="preserve">(3) Genehmigungsbedürftige Entgelte dürfen</w:t>
      </w:r>
    </w:p>
    <w:p>
      <w:pPr>
        <w:ind w:left="420"/>
      </w:pPr>
      <w:r>
        <w:t xml:space="preserve">1. keine Aufschläge enthalten, die der Anbieter nur auf Grund seiner marktbeherrschenden Stellung durchsetzen kann,</w:t>
      </w:r>
    </w:p>
    <w:p>
      <w:pPr>
        <w:ind w:left="420"/>
      </w:pPr>
      <w:r>
        <w:t xml:space="preserve">2. keine Abschläge enthalten, die die Wettbewerbsmöglichkeiten anderer Unternehmen auf einem Markt für Postdienstleistungen in mißbräuchlicher Weise beeinträchtigen,</w:t>
      </w:r>
    </w:p>
    <w:p>
      <w:pPr>
        <w:ind w:left="420"/>
      </w:pPr>
      <w:r>
        <w:t xml:space="preserve">3. einzelnen Nachfragern keine Vorteile gegenüber anderen Nachfragern gleichartiger Postdienstleistungen einräumen,</w:t>
      </w:r>
    </w:p>
    <w:p>
      <w:r>
        <w:t xml:space="preserve">es sei denn, dass eine sachliche Rechtfertigung nachgewiesen wird. Soweit die nachgewiesenen Kosten die Kosten der effizienten Leistungsbereitstellung nach Absatz 2 übersteigen, werden sie im Rahmen der Entgeltgenehmigung berücksichtigt, wenn hierfür eine rechtliche Verpflichtung besteht oder eine sonstige sachliche Rechtfertigung nachgewiesen wird. Dabei sind insbesondere die Kosten für die Einhaltung der wesentlichen Arbeitsbedingungen, die im lizenzierten Bereich üblich sind, sowie die Kosten einer flächendeckenden Versorgung mit Postdienstleistungen und die Kosten aus der Übernahme von Versorgungslasten für die Beschäftigten, die aus der Rechtsnachfolge der Deutschen Bundespost entstanden sind, angemessen zu berücksichtigen. Aufwendungen nach Satz 2 sind den Dienstleistungen verursachungsgerecht zuzuordnen. Können die Aufwendungen bei einer verursachungsgerechten Zuordnung auf Grund der Marktgegebenheiten nicht getragen werden, ohne dass die Wettbewerbsfähigkeit der Dienstleistungen beeinträchtigt wird, können sie abweichend von Satz 4 anderen Dienstleistungen zugeordnet werden. Dienstleistungen, deren Entgelte der Genehmigung nach § 19 bedürfen, können Aufwendungen nach Satz 5 nur zugeordnet werden, soweit zwischen den Dienstleistungen und den Aufwendungen ein konkreter Zurechnungszusammenhang besteht. Ein Zurechnungszusammenhang besteht insbesondere dann, wenn bei der Beförderung der Sendungen Einrichtungen oder Personal gemeinsam genutzt werden.</w:t>
      </w:r>
    </w:p>
    <w:p>
      <w:r>
        <w:t xml:space="preserve">(4) Eine missbräuchliche Beeinträchtigung im Sinne des Absatzes 3 Satz 1 Nummer 2 wird insbesondere dann vermutet, wenn die Spanne zwischen</w:t>
      </w:r>
    </w:p>
    <w:p>
      <w:pPr>
        <w:ind w:left="420"/>
      </w:pPr>
      <w:r>
        <w:t xml:space="preserve">1. dem Entgelt, das ein marktbeherrschender Lizenznehmer Wettbewerbern für eine Zugangsleistung nach § 28 in Rechnung stellt, und</w:t>
      </w:r>
    </w:p>
    <w:p>
      <w:pPr>
        <w:ind w:left="420"/>
      </w:pPr>
      <w:r>
        <w:t xml:space="preserve">2. dem Entgelt, das er für eine Endkundenleistung verlangt, die weitere Wertschöpfungsstufen umfasst,</w:t>
      </w:r>
    </w:p>
    <w:p>
      <w:r>
        <w:t xml:space="preserve">nicht ausreicht, um einem effizienten Unternehmen die Erzielung einer angemessenen Gewinnmarge auf dessen Eigenanteil an der Wertschöpfung zu ermöglichen (Preis-Kosten-Schere).</w:t>
      </w:r>
    </w:p>
    <w:p>
      <w:r>
        <w:t xml:space="preserve">(5) § 11 Abs. 1 und eine auf Grund des § 11 Abs. 2 erlassene Rechtsverordnung bleiben unberührt.</w:t>
      </w:r>
    </w:p>
    <w:p>
      <w:r>
        <w:rPr>
          <w:color w:val="555555"/>
          <w:sz w:val="17"/>
        </w:rPr>
        <w:t xml:space="preserve">Zitiervorschlag: § 20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