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PostG 1998 — Regulierung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(1) Die Regulierung des Postwesens ist eine hoheitliche Aufgabe des Bundes.</w:t>
      </w:r>
    </w:p>
    <w:p>
      <w:r>
        <w:t xml:space="preserve">(2) Ziele der Regulierung sind:</w:t>
      </w:r>
    </w:p>
    <w:p>
      <w:pPr>
        <w:ind w:left="420"/>
      </w:pPr>
      <w:r>
        <w:t xml:space="preserve">1. die Wahrung der Interessen der Kunden sowie die Wahrung des Postgeheimnisses,</w:t>
      </w:r>
    </w:p>
    <w:p>
      <w:pPr>
        <w:ind w:left="420"/>
      </w:pPr>
      <w:r>
        <w:t xml:space="preserve">2. die Sicherstellung eines chancengleichen und funktionsfähigen Wettbewerbs, auch in der Fläche, auf den Märkten des Postwesens,</w:t>
      </w:r>
    </w:p>
    <w:p>
      <w:pPr>
        <w:ind w:left="420"/>
      </w:pPr>
      <w:r>
        <w:t xml:space="preserve">3. die Sicherstellung einer flächendeckenden Grundversorgung mit Postdienstleistungen zu erschwinglichen Preisen (Universaldienst),</w:t>
      </w:r>
    </w:p>
    <w:p>
      <w:pPr>
        <w:ind w:left="420"/>
      </w:pPr>
      <w:r>
        <w:t xml:space="preserve">4. die Wahrung der Interessen der öffentlichen Sicherheit,</w:t>
      </w:r>
    </w:p>
    <w:p>
      <w:pPr>
        <w:ind w:left="420"/>
      </w:pPr>
      <w:r>
        <w:t xml:space="preserve">5. die Berücksichtigung sozialer Belange.</w:t>
      </w:r>
    </w:p>
    <w:p>
      <w:r>
        <w:t xml:space="preserve">(3) Das Gesetz gegen Wettbewerbsbeschränkungen bleibt unberührt.</w:t>
      </w:r>
    </w:p>
    <w:p>
      <w:r>
        <w:rPr>
          <w:color w:val="555555"/>
          <w:sz w:val="17"/>
        </w:rPr>
        <w:t xml:space="preserve">Zitiervorschlag: § 2 PostG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https://recht.nulegal.eu/gesetze/PostG%201998/2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