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PostG 1998 — Genehmigungsbedürftige Entgelte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Historische Fassung: Stand 10.06.2019 bis 19.07.2024. Dies ist nicht die aktuelle Fassung.</w:t>
      </w:r>
    </w:p>
    <w:p>
      <w:r>
        <w:t xml:space="preserve">Entgelte, die ein Lizenznehmer auf einem Markt für lizenzpflichtige Postdienstleistungen erhebt, bedürfen der Genehmigung durch die Regulierungsbehörde, sofern der Lizenznehmer auf dem betreffenden Markt marktbeherrschend ist. Satz 1 gilt nicht für Entgelte solcher Beförderungsleistungen, die ab einer Mindesteinlieferungsmenge von 50 Briefsendungen angewendet werden.</w:t>
      </w:r>
    </w:p>
    <w:p>
      <w:r>
        <w:rPr>
          <w:color w:val="555555"/>
          <w:sz w:val="17"/>
        </w:rPr>
        <w:t xml:space="preserve">Zitiervorschlag: § 19 PostG 1998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https://recht.nulegal.eu/gesetze/PostG%201998/19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