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PostG 1998 — Umsatzmitteilungen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(1) Ist eine Verpflichtung zur Erbringung einer Universaldienstleistung nach § 13 Abs. 2 oder 3 oder § 14 erfolgt, haben die Lizenznehmer der Regulierungsbehörde ihre im lizenzierten Bereich erzielten Jahresumsätze auf Verlangen mitzuteilen. Unterbleibt die Mitteilung, so kann die Regulierungsbehörde den jeweiligen Umsatz schätzen.</w:t>
      </w:r>
    </w:p>
    <w:p>
      <w:r>
        <w:t xml:space="preserve">(2) Bei der Ermittlung der Umsätze gilt § 23 Abs. 1 Satz 2 und 3 des Gesetzes gegen Wettbewerbsbeschränkungen entsprechend.</w:t>
      </w:r>
    </w:p>
    <w:p>
      <w:r>
        <w:rPr>
          <w:color w:val="555555"/>
          <w:sz w:val="17"/>
        </w:rPr>
        <w:t xml:space="preserve">Zitiervorschlag: § 17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