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PostG 1998 — Ausschreibung von Dienstleistungen</w:t>
      </w:r>
    </w:p>
    <w:p>
      <w:r>
        <w:rPr>
          <w:color w:val="555555"/>
          <w:sz w:val="18"/>
        </w:rPr>
        <w:t xml:space="preserve">Postgesetz</w:t>
      </w:r>
    </w:p>
    <w:p>
      <w:r>
        <w:rPr>
          <w:color w:val="555555"/>
          <w:sz w:val="18"/>
        </w:rPr>
        <w:t xml:space="preserve">Historische Fassung: Stand 10.06.2019 bis 19.07.2024. Dies ist nicht die aktuelle Fassung.</w:t>
      </w:r>
    </w:p>
    <w:p>
      <w:r>
        <w:t xml:space="preserve">(1) Legt ein Unternehmen, das nach § 13 Abs. 2 oder 3 zur Erbringung einer Universaldienstleistung verpflichtet werden soll, mit hinreichender Begründung und in hinreichend glaubhafter Weise dar, daß es durch die Verpflichtung einen wirtschaftlichen Nachteil erleiden würde und es hierfür einen Ausgleich nach § 15 verlangen könnte, so hat die Regulierungsbehörde diejenige Dienstleistung, die den Nachteil verursacht, auszuschreiben. Die Regulierungsbehörde kann von einer Ausschreibung absehen, wenn eine Ausschreibung nicht zweckmäßig erscheint.</w:t>
      </w:r>
    </w:p>
    <w:p>
      <w:r>
        <w:t xml:space="preserve">(2) Die ausgeschriebene Dienstleistung ist an denjenigen leistungsfähigen, zuverlässigen und fachkundigen Bewerber zu vergeben, der den geringsten finanziellen Ausgleich dafür verlangt.</w:t>
      </w:r>
    </w:p>
    <w:p>
      <w:r>
        <w:t xml:space="preserve">(3) Ist eine Verpflichtung nach § 13 Abs. 2 oder 3 nicht möglich, wird die Universaldienstleistung entsprechend Absatz 1 ausgeschrieben.</w:t>
      </w:r>
    </w:p>
    <w:p>
      <w:r>
        <w:t xml:space="preserve">(4) Vor der Ausschreibung einer Universaldienstleistung nach Absatz 1 oder 3 hat die Regulierungsbehörde im einzelnen festzulegen, welche Universaldienstleistung in welchem Gebiet oder an welchem Ort zu erbringen ist und nach welchen Kriterien die erforderliche Leistungsfähigkeit, Zuverlässigkeit und Fachkunde des Anbieters bewertet wird. Die Regulierungsbehörde hat ferner die Regeln für die Durchführung des Ausschreibungsverfahrens im einzelnen festzulegen; diese müssen objektiv, nachvollziehbar und diskriminierungsfrei sein.</w:t>
      </w:r>
    </w:p>
    <w:p>
      <w:r>
        <w:rPr>
          <w:color w:val="555555"/>
          <w:sz w:val="17"/>
        </w:rPr>
        <w:t xml:space="preserve">Zitiervorschlag: § 14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