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PostAufgÜberlG — Postrechtliche Rechte und Pflichten; regulierungsbehördliche Verwaltungsakte</w:t>
      </w:r>
    </w:p>
    <w:p>
      <w:r>
        <w:rPr>
          <w:color w:val="555555"/>
          <w:sz w:val="18"/>
        </w:rPr>
        <w:t xml:space="preserve">Postaufgabenüberleitungsgesetz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(1) Für den Fall, dass die Bundesregierung von der Verordnungsermächtigung nach § 1 Absatz 1 Gebrauch macht, gehen die folgenden Rechte und Pflichten nach dem Postgesetz vom 15. Juli 2024 (BGBl. 2024 I Nr. 236) zum Zeitpunkt des Wirksamwerdens der Aufgabenübertragung nach § 1 Absatz 1 und 2 von dem Vorgängerunternehmen auf das Nachfolgeunternehmen über:</w:t>
      </w:r>
    </w:p>
    <w:p>
      <w:pPr>
        <w:ind w:left="420"/>
      </w:pPr>
      <w:r>
        <w:t xml:space="preserve">1. das Recht, Postdienstleistungen zu erbringen nach § 4 Absatz 1 Satz 2 und 3 des Postgesetzes, auch in Verbindung mit § 112 Absatz 1 des Postgesetzes,</w:t>
      </w:r>
    </w:p>
    <w:p>
      <w:pPr>
        <w:ind w:left="420"/>
      </w:pPr>
      <w:r>
        <w:t xml:space="preserve">2. die Pflicht zur Erbringung des Universaldienstes nach § 15 Absatz 2 Satz 1 Nummer 1 bis 3 des Postgesetzes und</w:t>
      </w:r>
    </w:p>
    <w:p>
      <w:pPr>
        <w:ind w:left="420"/>
      </w:pPr>
      <w:r>
        <w:t xml:space="preserve">3. die Pflicht nach § 61 des Postgesetzes, Schriftstücke unabhängig von ihrem Gewicht nach den Vorschriften der Prozessordnungen und der Gesetze, die die Verwaltungszustellung regeln, förmlich zuzustellen.</w:t>
      </w:r>
    </w:p>
    <w:p>
      <w:r>
        <w:t xml:space="preserve">(2) Mit dem Übergang des Rechts nach Absatz 1 Nummer 1 ist das Nachfolgeunternehmen anstelle des Vorgängerunternehmens in das Verzeichnis nach § 4 Absatz 1 des Postgesetzes einzutragen. § 4 Absatz 2 bis 4 und 6 findet in diesem Fall keine Anwendung. § 6 Absatz 1 Satz 2 des Postgesetzes ist entsprechend anzuwenden. Bis zum Vollzug der Eintragung gilt das Nachfolgeunternehmen als eingetragen nach § 4 Absatz 1 des Postgesetzes. Mit dem Übergang der Pflicht nach Absatz 1 Nummer 3 gehen auch die Hoheitsbefugnisse im Sinne des § 61 Satz 2 des Postgesetzes auf das Nachfolgeunternehmen als beliehenem Unternehmer über.</w:t>
      </w:r>
    </w:p>
    <w:p>
      <w:r>
        <w:t xml:space="preserve">(3) Verwaltungsakte, die auf Grundlage des Postgesetzes, einer aufgrund des Postgesetzes erlassenen Rechtsverordnung oder aufgrund der Benannte Betreiber-Zulassungsverordnung vom 1. Juli 2019 (BGBl. I S. 904), die durch Artikel 36 des Gesetzes vom 15. Juli 2024 (BGBl. 2024 I Nr. 236, Nr. 331) geändert worden ist, gegenüber dem Vorgängerunternehmen erlassen worden sind oder diesem gegenüber fortgelten und zum Zeitpunkt des Wirksamwerdens der Aufgabenübertragung nach § 1 Absatz 1 und 2 nicht erledigt (§ 43 Absatz 2 des Verwaltungsverfahrensgesetzes) oder aufgehoben worden sind, gelten mit der Maßgabe fort, dass sie auch als gegenüber dem Nachfolgeunternehmen erlassen gelten. Satz 1 gilt für Feststellungen nach § 112 Absatz 6 des Postgesetzes, die gegenüber dem Vorgängerunternehmen fortgelten, entsprechend.</w:t>
      </w:r>
    </w:p>
    <w:p>
      <w:r>
        <w:rPr>
          <w:color w:val="555555"/>
          <w:sz w:val="17"/>
        </w:rPr>
        <w:t xml:space="preserve">Zitiervorschlag: § 4 PostAufgÜberlG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https://recht.nulegal.eu/gesetze/PostAufg%C3%9CberlG/4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