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PostAGSa — Geschäftsordnung</w:t>
      </w:r>
    </w:p>
    <w:p>
      <w:r>
        <w:rPr>
          <w:color w:val="555555"/>
          <w:sz w:val="18"/>
        </w:rPr>
        <w:t xml:space="preserve">Satzung der Deutsche Post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Rahmen der zwingenden gesetzlichen Vorschriften und der Bestimmungen dieser Satzung gibt sich der Aufsichtsrat eine Geschäftsordnung.</w:t>
      </w:r>
    </w:p>
    <w:p>
      <w:r>
        <w:rPr>
          <w:color w:val="555555"/>
          <w:sz w:val="17"/>
        </w:rPr>
        <w:t xml:space="preserve">Zitiervorschlag: § 12 PostAGSa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https://recht.nulegal.eu/gesetze/PostAGSa/12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