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Post-AZV 2003</w:t>
      </w:r>
    </w:p>
    <w:p>
      <w:r>
        <w:rPr>
          <w:color w:val="555555"/>
          <w:sz w:val="18"/>
        </w:rPr>
        <w:t xml:space="preserve">Post-Arbeitszeitverordnung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3 Satz 1 Nr. 2 des Postpersonalrechtsgesetzes vom 14. September 1994 (BGBl. I S. 2325, 2353), der zuletzt durch Artikel 223 Nr. 2 Buchstabe a der Verordnung vom 29. Oktober 2001 (BGBl. I S. 2785) geändert worden ist, verordnet das Bundesministerium der Finanzen auf Vorschlag des Vorstands der Deutschen Post AG und nach Anhörung der Bundesanstalt für Post und Telekommunikation Deutsche Bundespost:</w:t>
      </w:r>
    </w:p>
    <w:p>
      <w:r>
        <w:rPr>
          <w:color w:val="555555"/>
          <w:sz w:val="17"/>
        </w:rPr>
        <w:t xml:space="preserve">Zitiervorschlag: Eingangsformel Post-AZV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https://recht.nulegal.eu/gesetze/Post-AZV%202003/eingangsformel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