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Post-AZV 2003 — Inkrafttreten, Außerkrafttreten</w:t>
      </w:r>
    </w:p>
    <w:p>
      <w:r>
        <w:rPr>
          <w:color w:val="555555"/>
          <w:sz w:val="18"/>
        </w:rPr>
        <w:t xml:space="preserve">Post-Arbeitszeitverordnung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Abweichend von Absatz 1 Satz 1 tritt § 3 am 1. Januar 2007 in Kraft.</w:t>
      </w:r>
    </w:p>
    <w:p>
      <w:r>
        <w:t xml:space="preserve">(3) § 2 tritt mit Ablauf des 31. Dezember 2006 außer Kraft.</w:t>
      </w:r>
    </w:p>
    <w:p>
      <w:r>
        <w:rPr>
          <w:color w:val="555555"/>
          <w:sz w:val="17"/>
        </w:rPr>
        <w:t xml:space="preserve">Zitiervorschlag: § 10 Post-AZV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https://recht.nulegal.eu/gesetze/Post-AZV%202003/10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