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PortalV</w:t>
      </w:r>
    </w:p>
    <w:p>
      <w:r>
        <w:rPr>
          <w:color w:val="555555"/>
          <w:sz w:val="18"/>
        </w:rPr>
        <w:t xml:space="preserve">Portalverordnung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56 Absatz 1 Nummer 5 des Bundesmeldegesetzes vom 3. Mai 2013 (BGBl. I S. 1084) unter Berücksichtigung des Artikels 1 Nummer 3 des Gesetzes vom 20. November 2014 (BGBl. I S. 1738) verordnet das Bundesministerium des Innern:</w:t>
      </w:r>
    </w:p>
    <w:p>
      <w:r>
        <w:rPr>
          <w:color w:val="555555"/>
          <w:sz w:val="17"/>
        </w:rPr>
        <w:t xml:space="preserve">Zitiervorschlag: Eingangsformel PortalV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https://recht.nulegal.eu/gesetze/PortalV/eingangsformel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