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PortalV — Inkrafttreten</w:t>
      </w:r>
    </w:p>
    <w:p>
      <w:r>
        <w:rPr>
          <w:color w:val="555555"/>
          <w:sz w:val="18"/>
        </w:rPr>
        <w:t xml:space="preserve">Portalverordnung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November 2015 in Kraft.</w:t>
      </w:r>
    </w:p>
    <w:p>
      <w:r>
        <w:rPr>
          <w:color w:val="555555"/>
          <w:sz w:val="17"/>
        </w:rPr>
        <w:t xml:space="preserve">Zitiervorschlag: § 7 PortalV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https://recht.nulegal.eu/gesetze/PortalV/7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