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PortalV — Datenschutz und Datensicherheit</w:t>
      </w:r>
    </w:p>
    <w:p>
      <w:r>
        <w:rPr>
          <w:color w:val="555555"/>
          <w:sz w:val="18"/>
        </w:rPr>
        <w:t xml:space="preserve">Portalverordnung</w:t>
      </w:r>
    </w:p>
    <w:p>
      <w:r>
        <w:rPr>
          <w:color w:val="555555"/>
          <w:sz w:val="18"/>
        </w:rPr>
        <w:t xml:space="preserve">Stand: 10.06.2019 (konsolidierte Textfassung, kein amtliches Inkrafttretensdatum)</w:t>
      </w:r>
    </w:p>
    <w:p>
      <w:r>
        <w:t xml:space="preserve">Beim Betrieb des Portals ist sicherzustellen, dass</w:t>
      </w:r>
    </w:p>
    <w:p>
      <w:pPr>
        <w:ind w:left="420"/>
      </w:pPr>
      <w:r>
        <w:t xml:space="preserve">1. die Übermittlung der Melderegisterauskunft an den Anfragenden verschlüsselt stattfindet,</w:t>
      </w:r>
    </w:p>
    <w:p>
      <w:pPr>
        <w:ind w:left="420"/>
      </w:pPr>
      <w:r>
        <w:t xml:space="preserve">2. geeignete technische und organisatorische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getroffen werden, um den Datenschutz und die Datensicherheit zu gewährleisten, insbesondere im Hinblick auf die Vertraulichkeit und die Unversehrtheit der Daten, die durch die Meldebehörden beauskunftet werden,</w:t>
      </w:r>
    </w:p>
    <w:p>
      <w:pPr>
        <w:ind w:left="420"/>
      </w:pPr>
      <w:r>
        <w:t xml:space="preserve">3. den nach Landesrecht zuständigen Datenschutzaufsichtsbehörden zur Kontrolle die Einsichtnahme in die Protokolldaten des Portals möglich ist,</w:t>
      </w:r>
    </w:p>
    <w:p>
      <w:pPr>
        <w:ind w:left="420"/>
      </w:pPr>
      <w:r>
        <w:t xml:space="preserve">4. die Daten der Melderegisterauskunft nach Weitergabe an den Anfragenden innerhalb des Portals nicht gespeichert oder auf andere Weise verarbeitet werden,</w:t>
      </w:r>
    </w:p>
    <w:p>
      <w:pPr>
        <w:ind w:left="420"/>
      </w:pPr>
      <w:r>
        <w:t xml:space="preserve">5. Übermittlungen personenbezogener Daten an Drittländer oder an internationale Organisationen im Einklang mit Kapitel V der Verordnung (EU) 2016/679 stehen.</w:t>
      </w:r>
    </w:p>
    <w:p>
      <w:r>
        <w:rPr>
          <w:color w:val="555555"/>
          <w:sz w:val="17"/>
        </w:rPr>
        <w:t xml:space="preserve">Zitiervorschlag: § 4 PortalV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https://recht.nulegal.eu/gesetze/PortalV/4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