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PortalV — Protokollierungspflicht</w:t>
      </w:r>
    </w:p>
    <w:p>
      <w:r>
        <w:rPr>
          <w:color w:val="555555"/>
          <w:sz w:val="18"/>
        </w:rPr>
        <w:t xml:space="preserve">Portalverordnung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einem automatisierten Abruf von Daten einer Person hat das Portal zu gewährleisten, dass Folgendes protokolliert wird:</w:t>
      </w:r>
    </w:p>
    <w:p>
      <w:pPr>
        <w:ind w:left="420"/>
      </w:pPr>
      <w:r>
        <w:t xml:space="preserve">1. die Kennung des Anfragenden,</w:t>
      </w:r>
    </w:p>
    <w:p>
      <w:pPr>
        <w:ind w:left="420"/>
      </w:pPr>
      <w:r>
        <w:t xml:space="preserve">2. die Daten, mit denen angefragt wurde,</w:t>
      </w:r>
    </w:p>
    <w:p>
      <w:pPr>
        <w:ind w:left="420"/>
      </w:pPr>
      <w:r>
        <w:t xml:space="preserve">3. der Zeitpunkt der Anfrage und Zeitpunkt der Weiterleitung der Antwort an den Anfragenden,</w:t>
      </w:r>
    </w:p>
    <w:p>
      <w:pPr>
        <w:ind w:left="420"/>
      </w:pPr>
      <w:r>
        <w:t xml:space="preserve">4. von dem Anfragenden angegebene gewerbliche Zwecke gemäß § 44 Absatz 1 Satz 2 des Bundesmeldegesetzes,</w:t>
      </w:r>
    </w:p>
    <w:p>
      <w:pPr>
        <w:ind w:left="420"/>
      </w:pPr>
      <w:r>
        <w:t xml:space="preserve">5. die Erklärung des Anfragenden, die Daten der Melderegisterauskunft nicht für Zwecke der Werbung oder des Adresshandels zu verwenden, oder seine Erklärung, dass ihm eine entsprechende Einwilligung der betroffenen Person vorliegt,</w:t>
      </w:r>
    </w:p>
    <w:p>
      <w:pPr>
        <w:ind w:left="420"/>
      </w:pPr>
      <w:r>
        <w:t xml:space="preserve">6. die Art der Rückantwort der Meldebehörde,</w:t>
      </w:r>
    </w:p>
    <w:p>
      <w:pPr>
        <w:ind w:left="420"/>
      </w:pPr>
      <w:r>
        <w:t xml:space="preserve">7. die Vorgangsnummer.</w:t>
      </w:r>
    </w:p>
    <w:p>
      <w:r>
        <w:t xml:space="preserve">(2) Das Portal hat zu gewährleisten, dass die Protokolldaten nach Absatz 1</w:t>
      </w:r>
    </w:p>
    <w:p>
      <w:pPr>
        <w:ind w:left="420"/>
      </w:pPr>
      <w:r>
        <w:t xml:space="preserve">1. mindestens zwölf Monate aufbewahrt und gesichert werden,</w:t>
      </w:r>
    </w:p>
    <w:p>
      <w:pPr>
        <w:ind w:left="420"/>
      </w:pPr>
      <w:r>
        <w:t xml:space="preserve">2. spätestens zum Ende des Kalenderjahres gelöscht werden, das auf die Speicherung folgt,</w:t>
      </w:r>
    </w:p>
    <w:p>
      <w:pPr>
        <w:ind w:left="420"/>
      </w:pPr>
      <w:r>
        <w:t xml:space="preserve">3. nur für Zwecke der Datenschutzkontrolle, hieraus folgender Strafverfahren, der Sicherstellung des Betriebs des Portals und der Auskunftserteilung an die betroffene Person verarbeitet werden.</w:t>
      </w:r>
    </w:p>
    <w:p>
      <w:r>
        <w:rPr>
          <w:color w:val="555555"/>
          <w:sz w:val="17"/>
        </w:rPr>
        <w:t xml:space="preserve">Zitiervorschlag: § 3 PortalV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https://recht.nulegal.eu/gesetze/PortalV/3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