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PortalV — Aufgaben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Portal muss geeignet sein, die in § 49 Absatz 3 Satz 3 des Bundesmeldegesetzes genannten Aufgaben zu erfüllen und dabei</w:t>
      </w:r>
    </w:p>
    <w:p>
      <w:pPr>
        <w:ind w:left="420"/>
      </w:pPr>
      <w:r>
        <w:t xml:space="preserve">1. die Anfragenden so registrieren, dass deren Identität festgestellt werden kann,</w:t>
      </w:r>
    </w:p>
    <w:p>
      <w:pPr>
        <w:ind w:left="420"/>
      </w:pPr>
      <w:r>
        <w:t xml:space="preserve">2. die Auskunftsersuchen mit einer Vorgangsnummer versehen, die vom Portal an das Melderegister übermittelt wird und einen Rückschluss auf den Anfragenden ermöglicht,</w:t>
      </w:r>
    </w:p>
    <w:p>
      <w:pPr>
        <w:ind w:left="420"/>
      </w:pPr>
      <w:r>
        <w:t xml:space="preserve">3. die Melderegisterauskünfte zusammen mit der Vorgangsnummer an den Anfragenden weiterleiten.</w:t>
      </w:r>
    </w:p>
    <w:p>
      <w:r>
        <w:rPr>
          <w:color w:val="555555"/>
          <w:sz w:val="17"/>
        </w:rPr>
        <w:t xml:space="preserve">Zitiervorschlag: § 2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