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PolioV — Festlegung der Zeitpunkte nach § 50a Absatz 4 des Infektionsschutzgesetzes</w:t>
      </w:r>
    </w:p>
    <w:p>
      <w:r>
        <w:rPr>
          <w:color w:val="555555"/>
          <w:sz w:val="18"/>
        </w:rPr>
        <w:t xml:space="preserve">Poliovirus-Verordnung</w:t>
      </w:r>
    </w:p>
    <w:p>
      <w:r>
        <w:rPr>
          <w:color w:val="555555"/>
          <w:sz w:val="18"/>
        </w:rPr>
        <w:t xml:space="preserve">Stand: 01.06.2021 (konsolidierte Textfassung, kein amtliches Inkrafttretensdatum)</w:t>
      </w:r>
    </w:p>
    <w:p>
      <w:r>
        <w:t xml:space="preserve">(1) Der Zeitpunkt, zu dem Poliowildviren Typ 3, vakzine-abgeleitete Polioviren Typ 3 sowie Material, das möglicherweise Poliowildviren Typ 3 oder vakzine-abgeleitete Polioviren Typ 3 enthält, nach § 50a Absatz 2 des Infektionsschutzgesetzes spätestens vernichtet sein müssen, wird auf den 31. Juli 2021 festgelegt. Satz 1 gilt nicht für zentrale Einrichtungen im Sinne des § 50a Absatz 3 Satz 1 des Infektionsschutzgesetzes.</w:t>
      </w:r>
    </w:p>
    <w:p>
      <w:r>
        <w:t xml:space="preserve">(2) Der Zeitpunkt, ab dem nur eine zentrale Einrichtung im Sinne des § 50a Absatz 3 Satz 1 des Infektionsschutzgesetzes Poliowildviren Typ 3, vakzine-abgeleitete Polioviren Typ 3 sowie Material, das möglicherweise Poliowildviren Typ 3 oder vakzine-abgeleitete Polioviren Typ 3 enthält, besitzen darf, wird auf den 1. August 2021 festgelegt.</w:t>
      </w:r>
    </w:p>
    <w:p>
      <w:r>
        <w:rPr>
          <w:color w:val="555555"/>
          <w:sz w:val="17"/>
        </w:rPr>
        <w:t xml:space="preserve">Zitiervorschlag: § 1 PolioV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https://recht.nulegal.eu/gesetze/PolioV/1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