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PolWidZV (Brandenburg) — Übergangsvorschrift</w:t>
      </w:r>
    </w:p>
    <w:p>
      <w:r>
        <w:rPr>
          <w:color w:val="555555"/>
          <w:sz w:val="18"/>
        </w:rPr>
        <w:t xml:space="preserve">Widerspruchszuständigkeitsverordnung Polizei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im Zeitpunkt des Inkrafttretens dieser Verordnung anhängigen gerichtlichen Verfahren verbleibt die Vertretungsbefugnis bei den bisher zuständigen Stellen.</w:t>
      </w:r>
    </w:p>
    <w:p>
      <w:r>
        <w:rPr>
          <w:color w:val="555555"/>
          <w:sz w:val="17"/>
        </w:rPr>
        <w:t xml:space="preserve">Zitiervorschlag: § 3 PolWidZV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https://recht.nulegal.eu/gesetze/PolWidZV/3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