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PolWidZV (Brandenburg) — Vertretung bei Klagen aus dem Beamtenverhältnis</w:t>
      </w:r>
    </w:p>
    <w:p>
      <w:r>
        <w:rPr>
          <w:color w:val="555555"/>
          <w:sz w:val="18"/>
        </w:rPr>
        <w:t xml:space="preserve">Widerspruchszuständigkeitsverordnung Polizei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Vertretung des Landes vor den Gerichten der allgemeinen Verwaltungsgerichtsbarkeit wird den in § 1 genannten Stellen übertragen, soweit diese über den Widerspruch zu entscheiden haben. Satz 1 gilt entsprechend für die Verfahren auf einstweilige Anordnung gemäß § 123 der Verwaltungsgerichtsordnung.</w:t>
      </w:r>
    </w:p>
    <w:p>
      <w:r>
        <w:rPr>
          <w:color w:val="555555"/>
          <w:sz w:val="17"/>
        </w:rPr>
        <w:t xml:space="preserve">Zitiervorschlag: § 2 PolWidZV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https://recht.nulegal.eu/gesetze/PolWidZV/2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