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PolVBDVorgV — Inkrafttreten, Außerkrafttreten</w:t>
      </w:r>
    </w:p>
    <w:p>
      <w:r>
        <w:rPr>
          <w:color w:val="555555"/>
          <w:sz w:val="18"/>
        </w:rPr>
        <w:t xml:space="preserve">Polizeivollzugsbeamten-Dienstvorgesetztenverordnung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Diese Verordnung tritt am Tag nach der Verkündung in Kraft. Gleichzeitig tritt die Verordnung zu § 82 des Bundesdisziplinargesetzes vom 16. Oktober 2008 (BGBl. I S. 2004), die durch Artikel 63 der Verordnung vom 19. Juni 2020 (BGBl. I S. 1328) geändert worden ist, außer Kraft.</w:t>
      </w:r>
    </w:p>
    <w:p>
      <w:r>
        <w:rPr>
          <w:color w:val="555555"/>
          <w:sz w:val="17"/>
        </w:rPr>
        <w:t xml:space="preserve">Zitiervorschlag: § 4 PolVBDVorgV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https://recht.nulegal.eu/gesetze/PolVBDVorgV/4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