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PolAV (Brandenburg) — Prüfungsfächer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schriftliche und mündliche Prüfung erfolgt jeweils in drei der nachstehenden Fächer:</w:t>
      </w:r>
    </w:p>
    <w:p>
      <w:r>
        <w:t xml:space="preserve">Einsatzlehre,</w:t>
      </w:r>
    </w:p>
    <w:p>
      <w:r>
        <w:t xml:space="preserve">Straf- und Ordnungswidrigkeitenrecht,</w:t>
      </w:r>
    </w:p>
    <w:p>
      <w:r>
        <w:t xml:space="preserve">Kriminalistik und Kriminologie,</w:t>
      </w:r>
    </w:p>
    <w:p>
      <w:r>
        <w:t xml:space="preserve">Verkehrsrecht und Verkehrslehre,</w:t>
      </w:r>
    </w:p>
    <w:p>
      <w:r>
        <w:t xml:space="preserve">Eingriffsrecht und</w:t>
      </w:r>
    </w:p>
    <w:p>
      <w:r>
        <w:t xml:space="preserve">Staats- und Verfassungsrecht.</w:t>
      </w:r>
    </w:p>
    <w:p>
      <w:r>
        <w:rPr>
          <w:color w:val="555555"/>
          <w:sz w:val="17"/>
        </w:rPr>
        <w:t xml:space="preserve">Zitiervorschlag: § 9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