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PodG</w:t>
      </w:r>
    </w:p>
    <w:p>
      <w:r>
        <w:rPr>
          <w:color w:val="555555"/>
          <w:sz w:val="18"/>
        </w:rPr>
        <w:t xml:space="preserve">Podologengesetz</w:t>
      </w:r>
    </w:p>
    <w:p>
      <w:r>
        <w:rPr>
          <w:color w:val="555555"/>
          <w:sz w:val="18"/>
        </w:rPr>
        <w:t xml:space="preserve">Stand: 10.06.2019 (konsolidierte Textfassung, kein amtliches Inkrafttretensdatum)</w:t>
      </w:r>
    </w:p>
    <w:p>
      <w:r>
        <w:t xml:space="preserve">(1) Auf die Dauer der Ausbildung nach § 4 werden angerechnet</w:t>
      </w:r>
    </w:p>
    <w:p>
      <w:pPr>
        <w:ind w:left="420"/>
      </w:pPr>
      <w:r>
        <w:t xml:space="preserve">1. Ferien,</w:t>
      </w:r>
    </w:p>
    <w:p>
      <w:pPr>
        <w:ind w:left="420"/>
      </w:pPr>
      <w:r>
        <w:t xml:space="preserve">2. Unterbrechungen durch Krankheit oder aus anderen, von den Schülern nicht zu vertretenden Gründen bis zu höchstens vier Wochen je Ausbildungsjahr,</w:t>
      </w:r>
    </w:p>
    <w:p>
      <w:pPr>
        <w:ind w:left="420"/>
      </w:pPr>
      <w:r>
        <w:t xml:space="preserve">3. Unterbrechungen wegen Schwangerschaft bei Schülerinnen; die Unterbrechung der Ausbildung darf einschließlich der Fehlzeiten nach Nummer 2 eine Gesamtdauer von 14 Wochen nicht überschreiten.</w:t>
      </w:r>
    </w:p>
    <w:p>
      <w:r>
        <w:t xml:space="preserve">Die zuständige Behörde kann auf Antrag auch über die Nummern 1 bis 3 hinausgehende Fehlzeiten berücksichtigen, soweit eine besondere Härte vorliegt und die Erreichung des Ausbildungsziels durch die Anrechnung nicht gefährdet wird.</w:t>
      </w:r>
    </w:p>
    <w:p>
      <w:r>
        <w:t xml:space="preserve">(2) Auf Antrag kann eine andere abgeschlossene Ausbildung im Umfang ihrer Gleichwertigkeit auf die Dauer der Ausbildung angerechnet werden, wenn die Durchführung der Ausbildung und die Erreichung des Ausbildungsziels dadurch nicht gefährdet werden.</w:t>
      </w:r>
    </w:p>
    <w:p>
      <w:r>
        <w:rPr>
          <w:color w:val="555555"/>
          <w:sz w:val="17"/>
        </w:rPr>
        <w:t xml:space="preserve">Zitiervorschlag: § 6 PodG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