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PodAPrV — Versäumnisfolgen</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(1) Versäumt ein Prüfling einen Prüfungstermin oder gibt er eine Aufsichtsarbeit nicht oder nicht rechtzeitig ab oder unterbricht er die Prüfung, so gilt die Prüfung als nicht bestanden, wenn nicht ein wichtiger Grund vorliegt; § 10 Abs. 4 gilt entsprechend. Liegt ein wichtiger Grund vor, so gilt die Prüfung oder der betreffende Teil der Prüfung als nicht unternommen.</w:t>
      </w:r>
    </w:p>
    <w:p>
      <w:r>
        <w:t xml:space="preserve">(2) Die Entscheidung darüber, ob ein wichtiger Grund vorliegt, trifft die oder der Vorsitzende des Prüfungsausschusses. § 11 Abs. 1 Satz 1 und 4 gilt entsprechend.</w:t>
      </w:r>
    </w:p>
    <w:p>
      <w:r>
        <w:rPr>
          <w:color w:val="555555"/>
          <w:sz w:val="17"/>
        </w:rPr>
        <w:t xml:space="preserve">Zitiervorschlag: § 12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