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PlfZV — Durchführung der Planfeststellung durch die Bundesnetzagentur</w:t>
      </w:r>
    </w:p>
    <w:p>
      <w:r>
        <w:rPr>
          <w:color w:val="555555"/>
          <w:sz w:val="18"/>
        </w:rPr>
        <w:t xml:space="preserve">Planfeststellungszuweisungverordnung</w:t>
      </w:r>
    </w:p>
    <w:p>
      <w:r>
        <w:rPr>
          <w:color w:val="555555"/>
          <w:sz w:val="18"/>
        </w:rPr>
        <w:t xml:space="preserve">Stand: 31.10.2019 (konsolidierte Textfassung, kein amtliches Inkrafttretensdatum)</w:t>
      </w:r>
    </w:p>
    <w:p>
      <w:r>
        <w:t xml:space="preserve">Die Bundesnetzagentur für Elektrizität, Gas, Telekommunikation, Post und Eisenbahnen führt die Planfeststellungsverfahren nach Abschnitt 3 des Netzausbaubeschleunigungsgesetzes Übertragungsnetz durch für</w:t>
      </w:r>
    </w:p>
    <w:p>
      <w:pPr>
        <w:ind w:left="420"/>
      </w:pPr>
      <w:r>
        <w:t xml:space="preserve">1. die gemäß § 2 Absatz 1 Satz 1 des Bundesbedarfsplangesetzes in der Anlage zu diesem Gesetz mit „A1“ gekennzeichneten länderübergreifenden Höchstspannungsleitungen und</w:t>
      </w:r>
    </w:p>
    <w:p>
      <w:pPr>
        <w:ind w:left="420"/>
      </w:pPr>
      <w:r>
        <w:t xml:space="preserve">2. die gemäß § 2 Absatz 1 Satz 2 des Bundesbedarfsplangesetzes in der Anlage zu diesem Gesetz mit „A2“ gekennzeichneten grenzüberschreitenden Höchstspannungsleitungen.</w:t>
      </w:r>
    </w:p>
    <w:p>
      <w:r>
        <w:rPr>
          <w:color w:val="555555"/>
          <w:sz w:val="17"/>
        </w:rPr>
        <w:t xml:space="preserve">Zitiervorschlag: § 1 PlfZV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https://recht.nulegal.eu/gesetze/PlfZV/1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