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PlanzV 90 — Inkrafttreten</w:t>
      </w:r>
    </w:p>
    <w:p>
      <w:r>
        <w:rPr>
          <w:color w:val="555555"/>
          <w:sz w:val="18"/>
        </w:rPr>
        <w:t xml:space="preserve">Planzeichenverordnung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ersten Tage des auf die Verkündung folgenden dritten Kalendermonats in Kraft.</w:t>
      </w:r>
    </w:p>
    <w:p>
      <w:r>
        <w:t xml:space="preserve">(2) Gleichzeitig tritt die Planzeichenverordnung 1981 vom 30. Juli 1981 (BGBl. I S. 833) außer Kraft.</w:t>
      </w:r>
    </w:p>
    <w:p>
      <w:r>
        <w:rPr>
          <w:color w:val="555555"/>
          <w:sz w:val="17"/>
        </w:rPr>
        <w:t xml:space="preserve">Zitiervorschlag: § 4 PlanzV 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https://recht.nulegal.eu/gesetze/PlanzV%2090/4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