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PlanzV 90 — Überleitungsvorschrift</w:t>
      </w:r>
    </w:p>
    <w:p>
      <w:r>
        <w:rPr>
          <w:color w:val="555555"/>
          <w:sz w:val="18"/>
        </w:rPr>
        <w:t xml:space="preserve">Planzeichenverordnung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 zum 31. Oktober 1981 sowie die bis zum Inkrafttreten dieser Verordnung geltenden Planzeichen können weiterhin verwendet werden</w:t>
      </w:r>
    </w:p>
    <w:p>
      <w:pPr>
        <w:ind w:left="420"/>
      </w:pPr>
      <w:r>
        <w:t xml:space="preserve">1. für Änderungen oder Ergänzungen von Bauleitplänen, die bis zu diesen Zeitpunkten rechtswirksam geworden sind,</w:t>
      </w:r>
    </w:p>
    <w:p>
      <w:pPr>
        <w:ind w:left="420"/>
      </w:pPr>
      <w:r>
        <w:t xml:space="preserve">2. für Bauleitpläne, deren Aufstellung die Gemeinde bis zu diesen Zeitpunkten eingeleitet hat, wenn mit der Beteiligung der Träger öffentlicher Belange nach § 4 des Baugesetzbuchs oder vor Inkrafttreten des Baugesetzbuchs nach § 2 Abs. 5 des Bundesbaugesetzes begonnen worden ist sowie für Änderungen oder Ergänzungen dieser Bauleitpläne.</w:t>
      </w:r>
    </w:p>
    <w:p>
      <w:r>
        <w:rPr>
          <w:color w:val="555555"/>
          <w:sz w:val="17"/>
        </w:rPr>
        <w:t xml:space="preserve">Zitiervorschlag: § 3 PlanzV 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https://recht.nulegal.eu/gesetze/PlanzV%2090/3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