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PlanzV 90 — Planzeichen</w:t>
      </w:r>
    </w:p>
    <w:p>
      <w:r>
        <w:rPr>
          <w:color w:val="555555"/>
          <w:sz w:val="18"/>
        </w:rPr>
        <w:t xml:space="preserve">Planzeichenverordnung</w:t>
      </w:r>
    </w:p>
    <w:p>
      <w:r>
        <w:rPr>
          <w:color w:val="555555"/>
          <w:sz w:val="18"/>
        </w:rPr>
        <w:t xml:space="preserve">Stand: 10.06.2019 (konsolidierte Textfassung, kein amtliches Inkrafttretensdatum)</w:t>
      </w:r>
    </w:p>
    <w:p>
      <w:r>
        <w:t xml:space="preserve">(1) Als Planzeichen in den Bauleitplänen sollen die in der Anlage zu dieser Verordnung enthaltenen Planzeichen verwendet werden. Dies gilt auch insbesondere für Kennzeichnungen, nachrichtliche Übernahmen und Vermerke. Die Darstellungsarten können miteinander verbunden werden. Linien können auch in Farbe ausgeführt werden. Kennzeichnungen, nachrichtliche Übernahmen und Vermerke sollen zusätzlich zu den Planzeichen als solche bezeichnet werden.</w:t>
      </w:r>
    </w:p>
    <w:p>
      <w:r>
        <w:t xml:space="preserve">(2) Die in der Anlage enthaltenen Planzeichen können ergänzt werden, soweit dies zur eindeutigen Darstellung des Planinhalts erforderlich ist. Soweit Darstellungen des Planinhalts erforderlich sind, für die in der Anlage keine oder keine ausreichenden Planzeichen enthalten sind, können Planzeichen verwendet werden, die sinngemäß aus den angegebenen Planzeichen entwickelt worden sind.</w:t>
      </w:r>
    </w:p>
    <w:p>
      <w:r>
        <w:t xml:space="preserve">(3) Die Planzeichen sollen in Farbton, Strichstärke und Dichte den Planunterlagen so angepaßt werden, daß deren Inhalt erkennbar bleibt.</w:t>
      </w:r>
    </w:p>
    <w:p>
      <w:r>
        <w:t xml:space="preserve">(4) Die verwendeten Planzeichen sollen im Bauleitplan erklärt werden.</w:t>
      </w:r>
    </w:p>
    <w:p>
      <w:r>
        <w:t xml:space="preserve">(5) Eine Verletzung von Vorschriften der Absätze 1 bis 4 ist unbeachtlich, wenn die Darstellung, Festsetzung, Kennzeichnung, nachrichtliche Übernahme oder der Vermerk hinreichend deutlich erkennbar ist.</w:t>
      </w:r>
    </w:p>
    <w:p>
      <w:r>
        <w:rPr>
          <w:color w:val="555555"/>
          <w:sz w:val="17"/>
        </w:rPr>
        <w:t xml:space="preserve">Zitiervorschlag: § 2 PlanzV 90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https://recht.nulegal.eu/gesetze/PlanzV%2090/2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