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PlanSiG — Ortsübliche und öffentliche Bekanntmachungen</w:t>
      </w:r>
    </w:p>
    <w:p>
      <w:r>
        <w:rPr>
          <w:color w:val="555555"/>
          <w:sz w:val="18"/>
        </w:rPr>
        <w:t xml:space="preserve">Planungssicherstellungsgesetz</w:t>
      </w:r>
    </w:p>
    <w:p>
      <w:r>
        <w:rPr>
          <w:color w:val="555555"/>
          <w:sz w:val="18"/>
        </w:rPr>
        <w:t xml:space="preserve">Außer Kraft: § 2 ist seit 01.01.2025 nicht mehr im PlanSiG enthalten. Angezeigt wird die letzte bekannte Fassung, Stand 01.01.2024.</w:t>
      </w:r>
    </w:p>
    <w:p>
      <w:r>
        <w:t xml:space="preserve">(1) Ist in Verfahren nach den in § 1 genannten Gesetzen eine ortsübliche oder öffentliche Bekanntmachung angeordnet und ist nach den dafür geltenden Vorschriften der Anschlag an einer Amtstafel oder die Auslegung zur Einsichtnahme vorgesehen, so können der Anschlag oder die Auslegung durch eine Veröffentlichung des Inhalts der Bekanntmachung im Internet ersetzt werden, wenn die jeweilige Bekanntmachungsfrist spätestens mit Ablauf des 31. Dezember 2024 endet. Zusätzlich hat zumindest eine Bekanntmachung in einem amtlichen Veröffentlichungsblatt oder einer örtlichen Tageszeitung zu erfolgen.</w:t>
      </w:r>
    </w:p>
    <w:p>
      <w:r>
        <w:t xml:space="preserve">(2) Für die Veröffentlichung im Internet gilt § 27a Absatz 1 Satz 2 und Absatz 2 des Verwaltungsverfahrensgesetzes entsprechend.</w:t>
      </w:r>
    </w:p>
    <w:p>
      <w:r>
        <w:rPr>
          <w:color w:val="555555"/>
          <w:sz w:val="17"/>
        </w:rPr>
        <w:t xml:space="preserve">Zitiervorschlag: § 2 PlanSiG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https://recht.nulegal.eu/gesetze/PlanSiG/2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