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PlanÜV (Brandenburg) — Inkrafttreten</w:t>
      </w:r>
    </w:p>
    <w:p>
      <w:r>
        <w:rPr>
          <w:color w:val="555555"/>
          <w:sz w:val="18"/>
        </w:rPr>
        <w:t xml:space="preserve">Planungshoheitsübertragungsverordnung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17. Januar 2017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für Infrastruktur und Landesplanung</w:t>
      </w:r>
    </w:p>
    <w:p>
      <w:r>
        <w:t xml:space="preserve">Kathrin Schneider</w:t>
      </w:r>
    </w:p>
    <w:p>
      <w:r>
        <w:rPr>
          <w:color w:val="555555"/>
          <w:sz w:val="17"/>
        </w:rPr>
        <w:t xml:space="preserve">Zitiervorschlag: § 2 PlanÜV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https://recht.nulegal.eu/gesetze/Plan%C3%9CV/2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