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PlanÜV (Brandenburg) — Aufgabenübertragung</w:t>
      </w:r>
    </w:p>
    <w:p>
      <w:r>
        <w:rPr>
          <w:color w:val="555555"/>
          <w:sz w:val="18"/>
        </w:rPr>
        <w:t xml:space="preserve">Planungshoheitsübertragungsverordnung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Aufgabe der kommunalen Planungshoheit für die verbindliche Bauleitplanung gemäß den §§ 8 bis 10 des Baugesetzbuches sowie den Regelungen der §§ 11 bis 18 des Baugesetzbuches für das Gewerbegebiet „Prignitz/Falkenhagen“ wird von der Stadt Pritzwalk und der amtsangehörigen Gemeinde Gerdshagen auf den Landkreis Prignitz übertragen.</w:t>
      </w:r>
    </w:p>
    <w:p>
      <w:r>
        <w:t xml:space="preserve">(2) Die von der Übertragung der Planungshoheit nach Absatz 1 betroffenen Grundstücke umfassen eine Größe von rund 369 Hektar. Sie umfassen die in der Anlage aufgeführten Fluren mit Flurstücken.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PlanÜV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https://recht.nulegal.eu/gesetze/Plan%C3%9CV/1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