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PlVereinfG — Übergangsregelungen</w:t>
      </w:r>
    </w:p>
    <w:p>
      <w:r>
        <w:rPr>
          <w:color w:val="555555"/>
          <w:sz w:val="18"/>
        </w:rPr>
        <w:t xml:space="preserve">Planungsvereinfachungsgesetz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Vor Inkrafttreten dieses Gesetzes begonnene Planungsverfahren werden nach den Vorschriften dieses Gesetzes weitergeführt. § 36d Abs. 6 des Bundesbahngesetzes, § 17 Abs. 6c des Bundesfernstraßengesetzes, § 19 Abs. 4 des Bundeswasserstraßengesetzes, § 10 Abs. 8 des Luftverkehrsgesetzes und § 29 Abs. 8 des Personenbeförderungsgesetzes in der Fassung dieses Gesetzes sind auch in verwaltungsgerichtlichen Verfahren anzuwenden, bei denen die angefochtene Entscheidung vor dem Inkrafttreten dieses Gesetzes erlassen worden ist.</w:t>
      </w:r>
    </w:p>
    <w:p>
      <w:r>
        <w:rPr>
          <w:color w:val="555555"/>
          <w:sz w:val="17"/>
        </w:rPr>
        <w:t xml:space="preserve">Zitiervorschlag: Art 10 PlVereinfG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https://recht.nulegal.eu/gesetze/PlVereinfG/10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