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Pkw-EnVKV</w:t>
      </w:r>
    </w:p>
    <w:p>
      <w:r>
        <w:rPr>
          <w:color w:val="555555"/>
          <w:sz w:val="18"/>
        </w:rPr>
        <w:t xml:space="preserve">Pkw-Energieverbrauchskennzeichnungsverordnung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Nr. 1 in Verbindung mit § 1 Abs. 2 und 3 Nr. 1 und 3 bis 5 des Energieverbrauchskennzeichnungsgesetzes vom 30. Januar 2002 (BGBl. I S. 570), von denen § 1 Abs. 1 und 2 durch Artikel 135 der Verordnung vom 25. November 2003 (BGBl. I S. 2304) geändert worden ist, verordnet das Bundesministerium für Wirtschaft und Arbeit im Einvernehmen mit dem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Pkw-EnVKV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https://recht.nulegal.eu/gesetze/Pkw-EnVKV/eingangsformel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